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1600"/>
      </w:pPr>
      <w:r>
        <w:rPr>
          <w:b/>
          <w:bCs/>
          <w:color w:val="1E7A34"/>
          <w:spacing w:val="40"/>
          <w:sz w:val="22"/>
          <w:szCs w:val="22"/>
        </w:rPr>
        <w:t xml:space="preserve">IRELANDCATTLEPRICE.COM</w:t>
      </w:r>
    </w:p>
    <w:p>
      <w:pPr>
        <w:spacing w:after="400"/>
      </w:pPr>
      <w:r>
        <w:rPr>
          <w:rFonts w:ascii="Georgia" w:cs="Georgia" w:eastAsia="Georgia" w:hAnsi="Georgia"/>
          <w:i/>
          <w:iCs/>
          <w:color w:val="5A544A"/>
          <w:sz w:val="19"/>
          <w:szCs w:val="19"/>
        </w:rPr>
        <w:t xml:space="preserve">Real farm-gate prices, reported by farmers</w:t>
      </w:r>
    </w:p>
    <w:p>
      <w:pPr>
        <w:pBdr>
          <w:bottom w:val="single" w:color="FFC400" w:sz="8" w:space="6"/>
        </w:pBdr>
        <w:spacing w:after="220" w:before="60"/>
      </w:pPr>
    </w:p>
    <w:p>
      <w:pPr>
        <w:spacing w:after="120" w:before="200"/>
      </w:pPr>
      <w:r>
        <w:rPr>
          <w:b/>
          <w:bCs/>
          <w:color w:val="15521F"/>
          <w:spacing w:val="30"/>
          <w:sz w:val="20"/>
          <w:szCs w:val="20"/>
        </w:rPr>
        <w:t xml:space="preserve">FINAL CAP POST-2027 PROPOSALS</w:t>
      </w:r>
    </w:p>
    <w:p>
      <w:pPr>
        <w:spacing w:after="160"/>
      </w:pPr>
      <w:r>
        <w:rPr>
          <w:rFonts w:ascii="Georgia" w:cs="Georgia" w:eastAsia="Georgia" w:hAnsi="Georgia"/>
          <w:b/>
          <w:bCs/>
          <w:color w:val="15521F"/>
          <w:sz w:val="52"/>
          <w:szCs w:val="52"/>
        </w:rPr>
        <w:t xml:space="preserve">Part III — The forgotten sectors</w:t>
      </w:r>
    </w:p>
    <w:p>
      <w:pPr>
        <w:spacing w:after="500"/>
      </w:pPr>
      <w:r>
        <w:rPr>
          <w:rFonts w:ascii="Georgia" w:cs="Georgia" w:eastAsia="Georgia" w:hAnsi="Georgia"/>
          <w:i/>
          <w:iCs/>
          <w:color w:val="3C3830"/>
          <w:sz w:val="26"/>
          <w:szCs w:val="26"/>
        </w:rPr>
        <w:t xml:space="preserve">Forestry, sheep and wool, the hills, horticulture, pigs and poultry, farm energy, and the dairy-beef bridge. A funding line beside every proposal — because a submission that will not show its sums is asking someone else to do its arguing.</w:t>
      </w:r>
    </w:p>
    <w:p>
      <w:pPr>
        <w:spacing w:after="60"/>
      </w:pPr>
      <w:r>
        <w:rPr>
          <w:b/>
          <w:bCs/>
          <w:sz w:val="22"/>
          <w:szCs w:val="22"/>
        </w:rPr>
        <w:t xml:space="preserve">Submitted by Brendan Kennedy</w:t>
      </w:r>
    </w:p>
    <w:p>
      <w:pPr>
        <w:spacing w:after="60"/>
      </w:pPr>
      <w:r>
        <w:rPr>
          <w:color w:val="5A544A"/>
          <w:sz w:val="20"/>
          <w:szCs w:val="20"/>
        </w:rPr>
        <w:t xml:space="preserve">Working farmer, Co. Tipperary</w:t>
      </w:r>
    </w:p>
    <w:p>
      <w:pPr>
        <w:spacing w:after="400"/>
      </w:pPr>
      <w:r>
        <w:rPr>
          <w:color w:val="5A544A"/>
          <w:sz w:val="20"/>
          <w:szCs w:val="20"/>
        </w:rPr>
        <w:t xml:space="preserve">July 2026</w:t>
      </w:r>
    </w:p>
    <w:p>
      <w:r>
        <w:br w:type="page"/>
      </w:r>
    </w:p>
    <w:p>
      <w:pPr>
        <w:spacing w:after="140"/>
        <w:jc w:val="left"/>
      </w:pPr>
      <w:r>
        <w:rPr>
          <w:sz w:val="21"/>
          <w:szCs w:val="21"/>
        </w:rPr>
        <w:t xml:space="preserve">Part I proposed quality-linked coupled support for beef within the available coupled-support ceiling. Part II applied the retirement and transfer package across sheep, tillage and dairy — reward the movement, not the birthday. Part III finishes the job by addressing sectors the current system has overlooked and putting a named funding source or regulatory route beside every proposal.</w:t>
      </w:r>
    </w:p>
    <w:p>
      <w:pPr>
        <w:pBdr>
          <w:left w:val="single" w:color="FFC400" w:sz="18" w:space="12"/>
        </w:pBdr>
        <w:spacing w:after="180" w:before="180"/>
        <w:ind w:left="403"/>
      </w:pPr>
      <w:r>
        <w:rPr>
          <w:rFonts w:ascii="Georgia" w:cs="Georgia" w:eastAsia="Georgia" w:hAnsi="Georgia"/>
          <w:b/>
          <w:bCs/>
          <w:i/>
          <w:iCs/>
          <w:color w:val="15521F"/>
          <w:sz w:val="24"/>
          <w:szCs w:val="24"/>
        </w:rPr>
        <w:t xml:space="preserve">The coupled-support ceiling is already allocated in Part I. It is not spent again here.</w:t>
      </w:r>
    </w:p>
    <w:p>
      <w:pPr>
        <w:spacing w:after="140"/>
        <w:jc w:val="left"/>
      </w:pPr>
      <w:r>
        <w:rPr>
          <w:sz w:val="21"/>
          <w:szCs w:val="21"/>
        </w:rPr>
        <w:t xml:space="preserve">Everything in Part III is funded from a different named pot, a redesign of an existing measure, private capital, or a regulatory change. Where a genuine trade-off exists, it is declared rather than hidden. There is one: sheep.</w:t>
      </w:r>
    </w:p>
    <w:p>
      <w:pPr>
        <w:pStyle w:val="Heading2"/>
        <w:keepNext/>
        <w:spacing w:after="120" w:before="320"/>
      </w:pPr>
      <w:r>
        <w:rPr>
          <w:rFonts w:ascii="Georgia" w:cs="Georgia" w:eastAsia="Georgia" w:hAnsi="Georgia"/>
          <w:b/>
          <w:bCs/>
          <w:color w:val="1E7A34"/>
          <w:sz w:val="28"/>
          <w:szCs w:val="28"/>
        </w:rPr>
        <w:t xml:space="preserve">The 2028–2034 budget proposal — why the sums can still balance</w:t>
      </w:r>
    </w:p>
    <w:p>
      <w:pPr>
        <w:spacing w:after="140"/>
        <w:jc w:val="left"/>
      </w:pPr>
      <w:r>
        <w:rPr>
          <w:sz w:val="21"/>
          <w:szCs w:val="21"/>
        </w:rPr>
        <w:t xml:space="preserve">If adopted in its proposed form, the Commission's 2028–2034 financial framework would reduce the ring-fenced farm-income envelope substantially in cash terms. For Ireland, that could reduce the direct-payments pot from roughly €1.2 billion a year towards €900 million, depending on the final agreement and national allocation.</w:t>
      </w:r>
    </w:p>
    <w:p>
      <w:pPr>
        <w:spacing w:after="140"/>
        <w:jc w:val="left"/>
      </w:pPr>
      <w:r>
        <w:rPr>
          <w:sz w:val="21"/>
          <w:szCs w:val="21"/>
        </w:rPr>
        <w:t xml:space="preserve">Nothing in this submission is presented as a guaranteed fixed euro payment. Every payment proposal is defined as a share of a named pot. That means a smaller pot produces a smaller payment, but the structure and order of priority remain intact.</w:t>
      </w:r>
    </w:p>
    <w:p>
      <w:pPr>
        <w:spacing w:after="140"/>
        <w:jc w:val="left"/>
      </w:pPr>
      <w:r>
        <w:rPr>
          <w:sz w:val="21"/>
          <w:szCs w:val="21"/>
        </w:rPr>
        <w:t xml:space="preserve">Under a reduced envelope, the coupled-support allocation used for Part I would also fall. The rates would therefore have to adjust to the money available. The structure would remain the same: stronger support on the first 25 cows; a lower rate above that; and a cap at 100 cows. That protects the smaller family farm first rather than applying the same reduction to every animal regardless of scale.</w:t>
      </w:r>
    </w:p>
    <w:p>
      <w:pPr>
        <w:spacing w:after="140"/>
        <w:jc w:val="left"/>
      </w:pPr>
      <w:r>
        <w:rPr>
          <w:sz w:val="21"/>
          <w:szCs w:val="21"/>
        </w:rPr>
        <w:t xml:space="preserve">The proposed move towards a more flexible national funding structure may also give Member States greater scope to shape coupled support and add national funding, subject to the final rules. That flexibility should be used carefully and transparently.</w:t>
      </w:r>
    </w:p>
    <w:p>
      <w:pPr>
        <w:pStyle w:val="Heading2"/>
        <w:keepNext/>
        <w:spacing w:after="120" w:before="320"/>
      </w:pPr>
      <w:r>
        <w:rPr>
          <w:rFonts w:ascii="Georgia" w:cs="Georgia" w:eastAsia="Georgia" w:hAnsi="Georgia"/>
          <w:b/>
          <w:bCs/>
          <w:color w:val="1E7A34"/>
          <w:sz w:val="28"/>
          <w:szCs w:val="28"/>
        </w:rPr>
        <w:t xml:space="preserve">Forestry — plant for the family, not the fund</w:t>
      </w:r>
    </w:p>
    <w:p>
      <w:pPr>
        <w:spacing w:after="140"/>
        <w:jc w:val="left"/>
      </w:pPr>
      <w:r>
        <w:rPr>
          <w:sz w:val="21"/>
          <w:szCs w:val="21"/>
        </w:rPr>
        <w:t xml:space="preserve">Ireland's Forestry Programme for 2023–2027 is funded separately from the main CAP direct-payment envelope. The core problem is not simply the size of the budget. It is design and delivery.</w:t>
      </w:r>
    </w:p>
    <w:p>
      <w:pPr>
        <w:spacing w:after="140"/>
        <w:jc w:val="left"/>
      </w:pPr>
      <w:r>
        <w:rPr>
          <w:sz w:val="21"/>
          <w:szCs w:val="21"/>
        </w:rPr>
        <w:t xml:space="preserve">Long licence delays can undermine the value of forestry as a retirement or succession asset. At the same time, premium structures and land competition can make it harder for younger farmers to compete for suitable ground. The policy should support long-term family ownership rather than create a system in which public support unintentionally strengthens institutional land buying.</w:t>
      </w:r>
    </w:p>
    <w:p>
      <w:pPr>
        <w:pStyle w:val="Heading3"/>
        <w:keepNext/>
        <w:spacing w:after="90" w:before="220"/>
      </w:pPr>
      <w:r>
        <w:rPr>
          <w:rFonts w:ascii="Georgia" w:cs="Georgia" w:eastAsia="Georgia" w:hAnsi="Georgia"/>
          <w:b/>
          <w:bCs/>
          <w:color w:val="15521F"/>
          <w:sz w:val="23"/>
          <w:szCs w:val="23"/>
        </w:rPr>
        <w:t xml:space="preserve">Front-loaded premiums for farm-family ownership</w:t>
      </w:r>
    </w:p>
    <w:p>
      <w:pPr>
        <w:spacing w:after="140"/>
        <w:jc w:val="left"/>
      </w:pPr>
      <w:r>
        <w:rPr>
          <w:sz w:val="21"/>
          <w:szCs w:val="21"/>
        </w:rPr>
        <w:t xml:space="preserve">Premiums should be strongest where forestry remains part of an active family farm or passes to a genuine successor. Standard rates should remain available elsewhere, but public support should not allow institutional buyers to outbid young farmers for the same land.</w:t>
      </w:r>
    </w:p>
    <w:p>
      <w:pPr>
        <w:pStyle w:val="Heading3"/>
        <w:keepNext/>
        <w:spacing w:after="90" w:before="220"/>
      </w:pPr>
      <w:r>
        <w:rPr>
          <w:rFonts w:ascii="Georgia" w:cs="Georgia" w:eastAsia="Georgia" w:hAnsi="Georgia"/>
          <w:b/>
          <w:bCs/>
          <w:color w:val="15521F"/>
          <w:sz w:val="23"/>
          <w:szCs w:val="23"/>
        </w:rPr>
        <w:t xml:space="preserve">Agroforestry that works on real farms</w:t>
      </w:r>
    </w:p>
    <w:p>
      <w:pPr>
        <w:spacing w:after="140"/>
        <w:jc w:val="left"/>
      </w:pPr>
      <w:r>
        <w:rPr>
          <w:sz w:val="21"/>
          <w:szCs w:val="21"/>
        </w:rPr>
        <w:t xml:space="preserve">A drystock farmer should be able to plant a shelter belt, a field corner, a riparian strip or a low-density agroforestry system without automatically losing all agricultural payment eligibility on the wider parcel. Any retained BISS, CRISS or ANC eligibility should be based on the final adopted rules and verified land use.</w:t>
      </w:r>
    </w:p>
    <w:p>
      <w:pPr>
        <w:pStyle w:val="Heading3"/>
        <w:keepNext/>
        <w:spacing w:after="90" w:before="220"/>
      </w:pPr>
      <w:r>
        <w:rPr>
          <w:rFonts w:ascii="Georgia" w:cs="Georgia" w:eastAsia="Georgia" w:hAnsi="Georgia"/>
          <w:b/>
          <w:bCs/>
          <w:color w:val="15521F"/>
          <w:sz w:val="23"/>
          <w:szCs w:val="23"/>
        </w:rPr>
        <w:t xml:space="preserve">A statutory clock on licences</w:t>
      </w:r>
    </w:p>
    <w:p>
      <w:pPr>
        <w:spacing w:after="140"/>
        <w:jc w:val="left"/>
      </w:pPr>
      <w:r>
        <w:rPr>
          <w:sz w:val="21"/>
          <w:szCs w:val="21"/>
        </w:rPr>
        <w:t xml:space="preserve">Afforestation and felling decisions should operate within clear legal time limits. A licence system that takes years to deliver a decision destroys planning certainty and weakens the asset the farmer was encouraged to create.</w:t>
      </w:r>
    </w:p>
    <w:p>
      <w:pPr>
        <w:pBdr>
          <w:top w:val="single" w:color="CFE6D5" w:sz="4" w:space="8"/>
          <w:bottom w:val="single" w:color="CFE6D5" w:sz="4" w:space="8"/>
          <w:left w:val="single" w:color="1E7A34" w:sz="18" w:space="8"/>
          <w:right w:val="single" w:color="CFE6D5" w:sz="4" w:space="8"/>
        </w:pBdr>
        <w:shd w:fill="EEF6F0" w:val="clear"/>
        <w:spacing w:after="200" w:before="140"/>
      </w:pPr>
      <w:r>
        <w:rPr>
          <w:color w:val="2B4A33"/>
          <w:sz w:val="20"/>
          <w:szCs w:val="20"/>
        </w:rPr>
        <w:t xml:space="preserve">Funding line: the existing Forestry Programme, redesigned. Additional CAP allocation required: none from the coupled-support pot.</w:t>
      </w:r>
    </w:p>
    <w:p>
      <w:pPr>
        <w:pStyle w:val="Heading2"/>
        <w:keepNext/>
        <w:spacing w:after="120" w:before="320"/>
      </w:pPr>
      <w:r>
        <w:rPr>
          <w:rFonts w:ascii="Georgia" w:cs="Georgia" w:eastAsia="Georgia" w:hAnsi="Georgia"/>
          <w:b/>
          <w:bCs/>
          <w:color w:val="1E7A34"/>
          <w:sz w:val="28"/>
          <w:szCs w:val="28"/>
        </w:rPr>
        <w:t xml:space="preserve">Sheep and wool — pay for flock quality, publish the price</w:t>
      </w:r>
    </w:p>
    <w:p>
      <w:pPr>
        <w:spacing w:after="140"/>
        <w:jc w:val="left"/>
      </w:pPr>
      <w:r>
        <w:rPr>
          <w:sz w:val="21"/>
          <w:szCs w:val="21"/>
        </w:rPr>
        <w:t xml:space="preserve">The Sheep Improvement Scheme provides a basic support structure for active flocks. Part II already proposed a flock-transfer measure to help sheep enterprises move to genuine new entrants. The remaining issue is quality and value. A sheep payment should reward measurable flock outcomes rather than simply count animals.</w:t>
      </w:r>
    </w:p>
    <w:p>
      <w:pPr>
        <w:spacing w:after="140"/>
        <w:jc w:val="left"/>
      </w:pPr>
      <w:r>
        <w:rPr>
          <w:sz w:val="21"/>
          <w:szCs w:val="21"/>
        </w:rPr>
        <w:t xml:space="preserve">Wool presents a different failure. For many Irish farmers, the return from wool does not cover shearing and handling costs. Prices vary by grade, quality and market, but the farmer often has little dependable public information before the merchant names a figure. IrelandCattlePrice.com has begun publishing a weekly Irish wool price, but one independent publication is not a substitute for a complete national reporting system.</w:t>
      </w:r>
    </w:p>
    <w:p>
      <w:pPr>
        <w:pStyle w:val="Heading3"/>
        <w:keepNext/>
        <w:spacing w:after="90" w:before="220"/>
      </w:pPr>
      <w:r>
        <w:rPr>
          <w:rFonts w:ascii="Georgia" w:cs="Georgia" w:eastAsia="Georgia" w:hAnsi="Georgia"/>
          <w:b/>
          <w:bCs/>
          <w:color w:val="15521F"/>
          <w:sz w:val="23"/>
          <w:szCs w:val="23"/>
        </w:rPr>
        <w:t xml:space="preserve">A quality-scaled ewe payment</w:t>
      </w:r>
    </w:p>
    <w:p>
      <w:pPr>
        <w:spacing w:after="140"/>
        <w:jc w:val="left"/>
      </w:pPr>
      <w:r>
        <w:rPr>
          <w:sz w:val="21"/>
          <w:szCs w:val="21"/>
        </w:rPr>
        <w:t xml:space="preserve">The payment should build on the Sheep Improvement Scheme and reward outcomes such as flock health, genotyping, lambing performance, maternal quality and reduced mortality.</w:t>
      </w:r>
    </w:p>
    <w:p>
      <w:pPr>
        <w:spacing w:after="140"/>
        <w:jc w:val="left"/>
      </w:pPr>
      <w:r>
        <w:rPr>
          <w:sz w:val="21"/>
          <w:szCs w:val="21"/>
        </w:rPr>
        <w:t xml:space="preserve">This is the one declared trade-off in the submission. A coupled ewe payment inside the same ceiling used for cattle would reduce the available cattle rate. For that reason, the sheep measure should be funded through the rural-development or exchequer-supported side of the system rather than by spending the coupled pot twice.</w:t>
      </w:r>
    </w:p>
    <w:p>
      <w:pPr>
        <w:pStyle w:val="Heading3"/>
        <w:keepNext/>
        <w:spacing w:after="90" w:before="220"/>
      </w:pPr>
      <w:r>
        <w:rPr>
          <w:rFonts w:ascii="Georgia" w:cs="Georgia" w:eastAsia="Georgia" w:hAnsi="Georgia"/>
          <w:b/>
          <w:bCs/>
          <w:color w:val="15521F"/>
          <w:sz w:val="23"/>
          <w:szCs w:val="23"/>
        </w:rPr>
        <w:t xml:space="preserve">Mandatory weekly wool-price reporting</w:t>
      </w:r>
    </w:p>
    <w:p>
      <w:pPr>
        <w:spacing w:after="140"/>
        <w:jc w:val="left"/>
      </w:pPr>
      <w:r>
        <w:rPr>
          <w:sz w:val="21"/>
          <w:szCs w:val="21"/>
        </w:rPr>
        <w:t xml:space="preserve">The Irish Grown Wool Council, or another designated national body, should collect and publish weekly wool prices by wool type, grade, region and sale channel. The aim is not to set the price. It is to let farmers see the trade before they sell.</w:t>
      </w:r>
    </w:p>
    <w:p>
      <w:pPr>
        <w:pStyle w:val="Heading3"/>
        <w:keepNext/>
        <w:spacing w:after="90" w:before="220"/>
      </w:pPr>
      <w:r>
        <w:rPr>
          <w:rFonts w:ascii="Georgia" w:cs="Georgia" w:eastAsia="Georgia" w:hAnsi="Georgia"/>
          <w:b/>
          <w:bCs/>
          <w:color w:val="15521F"/>
          <w:sz w:val="23"/>
          <w:szCs w:val="23"/>
        </w:rPr>
        <w:t xml:space="preserve">A demand floor through public procurement</w:t>
      </w:r>
    </w:p>
    <w:p>
      <w:pPr>
        <w:spacing w:after="140"/>
        <w:jc w:val="left"/>
      </w:pPr>
      <w:r>
        <w:rPr>
          <w:sz w:val="21"/>
          <w:szCs w:val="21"/>
        </w:rPr>
        <w:t xml:space="preserve">Where technically suitable, public retrofit and construction programmes should allow or specify natural-fibre insulation, including suitable grades of Irish wool. That would create a dependable demand route for coarse and crossbred wool that is otherwise difficult to market.</w:t>
      </w:r>
    </w:p>
    <w:p>
      <w:pPr>
        <w:pStyle w:val="Heading3"/>
        <w:keepNext/>
        <w:spacing w:after="90" w:before="220"/>
      </w:pPr>
      <w:r>
        <w:rPr>
          <w:rFonts w:ascii="Georgia" w:cs="Georgia" w:eastAsia="Georgia" w:hAnsi="Georgia"/>
          <w:b/>
          <w:bCs/>
          <w:color w:val="15521F"/>
          <w:sz w:val="23"/>
          <w:szCs w:val="23"/>
        </w:rPr>
        <w:t xml:space="preserve">Scouring, grading and processing capacity</w:t>
      </w:r>
    </w:p>
    <w:p>
      <w:pPr>
        <w:spacing w:after="140"/>
        <w:jc w:val="left"/>
      </w:pPr>
      <w:r>
        <w:rPr>
          <w:sz w:val="21"/>
          <w:szCs w:val="21"/>
        </w:rPr>
        <w:t xml:space="preserve">Ireland needs domestic or all-island capacity for washing, grading and preparing wool for higher-value use. Raw wool should not leave the farm system with most of its potential value still unrealised.</w:t>
      </w:r>
    </w:p>
    <w:p>
      <w:pPr>
        <w:pBdr>
          <w:top w:val="single" w:color="CFE6D5" w:sz="4" w:space="8"/>
          <w:bottom w:val="single" w:color="CFE6D5" w:sz="4" w:space="8"/>
          <w:left w:val="single" w:color="1E7A34" w:sz="18" w:space="8"/>
          <w:right w:val="single" w:color="CFE6D5" w:sz="4" w:space="8"/>
        </w:pBdr>
        <w:shd w:fill="EEF6F0" w:val="clear"/>
        <w:spacing w:after="200" w:before="140"/>
      </w:pPr>
      <w:r>
        <w:rPr>
          <w:color w:val="2B4A33"/>
          <w:sz w:val="20"/>
          <w:szCs w:val="20"/>
        </w:rPr>
        <w:t xml:space="preserve">Funding line: rural-development and exchequer support for the ewe measure; procurement, regulation and enterprise support for wool. Additional CAP allocation required: none from the coupled-support pot.</w:t>
      </w:r>
    </w:p>
    <w:p>
      <w:pPr>
        <w:pStyle w:val="Heading2"/>
        <w:keepNext/>
        <w:spacing w:after="120" w:before="320"/>
      </w:pPr>
      <w:r>
        <w:rPr>
          <w:rFonts w:ascii="Georgia" w:cs="Georgia" w:eastAsia="Georgia" w:hAnsi="Georgia"/>
          <w:b/>
          <w:bCs/>
          <w:color w:val="1E7A34"/>
          <w:sz w:val="28"/>
          <w:szCs w:val="28"/>
        </w:rPr>
        <w:t xml:space="preserve">The hills, commonage and walks — pay for the public good</w:t>
      </w:r>
    </w:p>
    <w:p>
      <w:pPr>
        <w:spacing w:after="140"/>
        <w:jc w:val="left"/>
      </w:pPr>
      <w:r>
        <w:rPr>
          <w:sz w:val="21"/>
          <w:szCs w:val="21"/>
        </w:rPr>
        <w:t xml:space="preserve">Hill farmers maintain grazed uplands, commonage, tracks, paths and landscapes that support tourism, biodiversity, fire management and rural access. The Walks Scheme helps in defined areas, but it reaches only part of the land and part of the farmers doing the work. Where grazing disappears, scrub and fire risk can increase and access can deteriorate.</w:t>
      </w:r>
    </w:p>
    <w:p>
      <w:pPr>
        <w:pStyle w:val="Heading3"/>
        <w:keepNext/>
        <w:spacing w:after="90" w:before="220"/>
      </w:pPr>
      <w:r>
        <w:rPr>
          <w:rFonts w:ascii="Georgia" w:cs="Georgia" w:eastAsia="Georgia" w:hAnsi="Georgia"/>
          <w:b/>
          <w:bCs/>
          <w:color w:val="15521F"/>
          <w:sz w:val="23"/>
          <w:szCs w:val="23"/>
        </w:rPr>
        <w:t xml:space="preserve">An upland eco-scheme action</w:t>
      </w:r>
    </w:p>
    <w:p>
      <w:pPr>
        <w:spacing w:after="140"/>
        <w:jc w:val="left"/>
      </w:pPr>
      <w:r>
        <w:rPr>
          <w:sz w:val="21"/>
          <w:szCs w:val="21"/>
        </w:rPr>
        <w:t xml:space="preserve">Farmers and commonage shareholders should be paid for verified management of grazed uplands, controlled vegetation, fire-risk reduction, maintained access and agreed biodiversity outcomes. The measure should pay the people carrying out the work rather than treat the hill as an unmanaged backdrop for tourism.</w:t>
      </w:r>
    </w:p>
    <w:p>
      <w:pPr>
        <w:pStyle w:val="Heading3"/>
        <w:keepNext/>
        <w:spacing w:after="90" w:before="220"/>
      </w:pPr>
      <w:r>
        <w:rPr>
          <w:rFonts w:ascii="Georgia" w:cs="Georgia" w:eastAsia="Georgia" w:hAnsi="Georgia"/>
          <w:b/>
          <w:bCs/>
          <w:color w:val="15521F"/>
          <w:sz w:val="23"/>
          <w:szCs w:val="23"/>
        </w:rPr>
        <w:t xml:space="preserve">An expanded Walks Scheme</w:t>
      </w:r>
    </w:p>
    <w:p>
      <w:pPr>
        <w:spacing w:after="140"/>
        <w:jc w:val="left"/>
      </w:pPr>
      <w:r>
        <w:rPr>
          <w:sz w:val="21"/>
          <w:szCs w:val="21"/>
        </w:rPr>
        <w:t xml:space="preserve">Where public walking routes cross farmland, the scheme should reach more landowners and provide payments that reflect maintenance, access, liability and lost use.</w:t>
      </w:r>
    </w:p>
    <w:p>
      <w:pPr>
        <w:pBdr>
          <w:top w:val="single" w:color="CFE6D5" w:sz="4" w:space="8"/>
          <w:bottom w:val="single" w:color="CFE6D5" w:sz="4" w:space="8"/>
          <w:left w:val="single" w:color="1E7A34" w:sz="18" w:space="8"/>
          <w:right w:val="single" w:color="CFE6D5" w:sz="4" w:space="8"/>
        </w:pBdr>
        <w:shd w:fill="EEF6F0" w:val="clear"/>
        <w:spacing w:after="200" w:before="140"/>
      </w:pPr>
      <w:r>
        <w:rPr>
          <w:color w:val="2B4A33"/>
          <w:sz w:val="20"/>
          <w:szCs w:val="20"/>
        </w:rPr>
        <w:t xml:space="preserve">Funding line: reallocation within the existing eco-scheme envelope, with Rural and Community Development funding for the Walks Scheme. Additional CAP allocation required: no new coupled-support money.</w:t>
      </w:r>
    </w:p>
    <w:p>
      <w:pPr>
        <w:pStyle w:val="Heading2"/>
        <w:keepNext/>
        <w:spacing w:after="120" w:before="320"/>
      </w:pPr>
      <w:r>
        <w:rPr>
          <w:rFonts w:ascii="Georgia" w:cs="Georgia" w:eastAsia="Georgia" w:hAnsi="Georgia"/>
          <w:b/>
          <w:bCs/>
          <w:color w:val="1E7A34"/>
          <w:sz w:val="28"/>
          <w:szCs w:val="28"/>
        </w:rPr>
        <w:t xml:space="preserve">Horticulture — the fewest hands, the thinnest price</w:t>
      </w:r>
    </w:p>
    <w:p>
      <w:pPr>
        <w:spacing w:after="140"/>
        <w:jc w:val="left"/>
      </w:pPr>
      <w:r>
        <w:rPr>
          <w:sz w:val="21"/>
          <w:szCs w:val="21"/>
        </w:rPr>
        <w:t xml:space="preserve">Ireland has very few commercial growers relative to the importance of domestic fresh food production. They sell perishable produce into a concentrated retail and wholesale market, often under terms that are not publicly visible. Perishability leaves growers with very little time to hold out for a better offer. That weakens their bargaining position before price is even discussed.</w:t>
      </w:r>
    </w:p>
    <w:p>
      <w:pPr>
        <w:pStyle w:val="Heading3"/>
        <w:keepNext/>
        <w:spacing w:after="90" w:before="220"/>
      </w:pPr>
      <w:r>
        <w:rPr>
          <w:rFonts w:ascii="Georgia" w:cs="Georgia" w:eastAsia="Georgia" w:hAnsi="Georgia"/>
          <w:b/>
          <w:bCs/>
          <w:color w:val="15521F"/>
          <w:sz w:val="23"/>
          <w:szCs w:val="23"/>
        </w:rPr>
        <w:t xml:space="preserve">Full enforcement of Unfair Trading Practices rules</w:t>
      </w:r>
    </w:p>
    <w:p>
      <w:pPr>
        <w:spacing w:after="140"/>
        <w:jc w:val="left"/>
      </w:pPr>
      <w:r>
        <w:rPr>
          <w:sz w:val="21"/>
          <w:szCs w:val="21"/>
        </w:rPr>
        <w:t xml:space="preserve">The Agri-Food Regulator should actively enforce written terms, payment deadlines, rejection rules and prohibited trading practices. Penalties should be large enough to change behaviour.</w:t>
      </w:r>
    </w:p>
    <w:p>
      <w:pPr>
        <w:pStyle w:val="Heading3"/>
        <w:keepNext/>
        <w:spacing w:after="90" w:before="220"/>
      </w:pPr>
      <w:r>
        <w:rPr>
          <w:rFonts w:ascii="Georgia" w:cs="Georgia" w:eastAsia="Georgia" w:hAnsi="Georgia"/>
          <w:b/>
          <w:bCs/>
          <w:color w:val="15521F"/>
          <w:sz w:val="23"/>
          <w:szCs w:val="23"/>
        </w:rPr>
        <w:t xml:space="preserve">Published price and margin data</w:t>
      </w:r>
    </w:p>
    <w:p>
      <w:pPr>
        <w:spacing w:after="140"/>
        <w:jc w:val="left"/>
      </w:pPr>
      <w:r>
        <w:rPr>
          <w:sz w:val="21"/>
          <w:szCs w:val="21"/>
        </w:rPr>
        <w:t xml:space="preserve">Farm-gate, wholesale and retail price information should be published regularly by product. The aim is not to control prices. It is to show where value is created, lost or retained along the chain.</w:t>
      </w:r>
    </w:p>
    <w:p>
      <w:pPr>
        <w:pStyle w:val="Heading3"/>
        <w:keepNext/>
        <w:spacing w:after="90" w:before="220"/>
      </w:pPr>
      <w:r>
        <w:rPr>
          <w:rFonts w:ascii="Georgia" w:cs="Georgia" w:eastAsia="Georgia" w:hAnsi="Georgia"/>
          <w:b/>
          <w:bCs/>
          <w:color w:val="15521F"/>
          <w:sz w:val="23"/>
          <w:szCs w:val="23"/>
        </w:rPr>
        <w:t xml:space="preserve">Support for producer organisations</w:t>
      </w:r>
    </w:p>
    <w:p>
      <w:pPr>
        <w:spacing w:after="140"/>
        <w:jc w:val="left"/>
      </w:pPr>
      <w:r>
        <w:rPr>
          <w:sz w:val="21"/>
          <w:szCs w:val="21"/>
        </w:rPr>
        <w:t xml:space="preserve">The EU fruit and vegetable regime provides co-funding for growers who organise to market, plan production and invest together. Ireland should make far greater use of it. Growers negotiating collectively have a better chance of dealing on equal terms with national buyers.</w:t>
      </w:r>
    </w:p>
    <w:p>
      <w:pPr>
        <w:pBdr>
          <w:top w:val="single" w:color="CFE6D5" w:sz="4" w:space="8"/>
          <w:bottom w:val="single" w:color="CFE6D5" w:sz="4" w:space="8"/>
          <w:left w:val="single" w:color="1E7A34" w:sz="18" w:space="8"/>
          <w:right w:val="single" w:color="CFE6D5" w:sz="4" w:space="8"/>
        </w:pBdr>
        <w:shd w:fill="EEF6F0" w:val="clear"/>
        <w:spacing w:after="200" w:before="140"/>
      </w:pPr>
      <w:r>
        <w:rPr>
          <w:color w:val="2B4A33"/>
          <w:sz w:val="20"/>
          <w:szCs w:val="20"/>
        </w:rPr>
        <w:t xml:space="preserve">Funding line: EU producer-organisation support and existing national schemes. Additional CAP allocation required: none from the coupled-support pot. Horticulture is treated in full in Part IV.</w:t>
      </w:r>
    </w:p>
    <w:p>
      <w:pPr>
        <w:pStyle w:val="Heading2"/>
        <w:keepNext/>
        <w:spacing w:after="120" w:before="320"/>
      </w:pPr>
      <w:r>
        <w:rPr>
          <w:rFonts w:ascii="Georgia" w:cs="Georgia" w:eastAsia="Georgia" w:hAnsi="Georgia"/>
          <w:b/>
          <w:bCs/>
          <w:color w:val="1E7A34"/>
          <w:sz w:val="28"/>
          <w:szCs w:val="28"/>
        </w:rPr>
        <w:t xml:space="preserve">Pigs and poultry — transparency, not headage</w:t>
      </w:r>
    </w:p>
    <w:p>
      <w:pPr>
        <w:spacing w:after="140"/>
        <w:jc w:val="left"/>
      </w:pPr>
      <w:r>
        <w:rPr>
          <w:sz w:val="21"/>
          <w:szCs w:val="21"/>
        </w:rPr>
        <w:t xml:space="preserve">Pig and poultry farms receive relatively little land-based support compared with more extensive sectors. They operate through concentrated processing and contract systems in which individual producers may have limited price visibility.</w:t>
      </w:r>
    </w:p>
    <w:p>
      <w:pPr>
        <w:spacing w:after="140"/>
        <w:jc w:val="left"/>
      </w:pPr>
      <w:r>
        <w:rPr>
          <w:sz w:val="21"/>
          <w:szCs w:val="21"/>
        </w:rPr>
        <w:t xml:space="preserve">Pig producers often sell against a weekly processor quote. Poultry growers commonly operate under integrator contracts, with limited public information on payment structures and contract terms. The issue is not the absence of another headage payment. It is the absence of a transparent market.</w:t>
      </w:r>
    </w:p>
    <w:p>
      <w:pPr>
        <w:pStyle w:val="Heading3"/>
        <w:keepNext/>
        <w:spacing w:after="90" w:before="220"/>
      </w:pPr>
      <w:r>
        <w:rPr>
          <w:rFonts w:ascii="Georgia" w:cs="Georgia" w:eastAsia="Georgia" w:hAnsi="Georgia"/>
          <w:b/>
          <w:bCs/>
          <w:color w:val="15521F"/>
          <w:sz w:val="23"/>
          <w:szCs w:val="23"/>
        </w:rPr>
        <w:t xml:space="preserve">Mandatory price and contract reporting</w:t>
      </w:r>
    </w:p>
    <w:p>
      <w:pPr>
        <w:spacing w:after="140"/>
        <w:jc w:val="left"/>
      </w:pPr>
      <w:r>
        <w:rPr>
          <w:sz w:val="21"/>
          <w:szCs w:val="21"/>
        </w:rPr>
        <w:t xml:space="preserve">The Agri-Food Regulator should collect and publish anonymised information on pig prices, poultry growing payments, contract terms, bonuses and deductions, payment periods, and major changes in processor conditions. This is a regulatory measure, not a new direct-payment scheme.</w:t>
      </w:r>
    </w:p>
    <w:p>
      <w:pPr>
        <w:pStyle w:val="Heading3"/>
        <w:keepNext/>
        <w:spacing w:after="90" w:before="220"/>
      </w:pPr>
      <w:r>
        <w:rPr>
          <w:rFonts w:ascii="Georgia" w:cs="Georgia" w:eastAsia="Georgia" w:hAnsi="Georgia"/>
          <w:b/>
          <w:bCs/>
          <w:color w:val="15521F"/>
          <w:sz w:val="23"/>
          <w:szCs w:val="23"/>
        </w:rPr>
        <w:t xml:space="preserve">Capital and energy support</w:t>
      </w:r>
    </w:p>
    <w:p>
      <w:pPr>
        <w:spacing w:after="140"/>
        <w:jc w:val="left"/>
      </w:pPr>
      <w:r>
        <w:rPr>
          <w:sz w:val="21"/>
          <w:szCs w:val="21"/>
        </w:rPr>
        <w:t xml:space="preserve">Pig and poultry farms have large energy needs and extensive roof space. Existing capital and solar measures should be designed so these farms can invest in renewable electricity, heat recovery, ventilation, storage and energy efficiency.</w:t>
      </w:r>
    </w:p>
    <w:p>
      <w:pPr>
        <w:pBdr>
          <w:top w:val="single" w:color="CFE6D5" w:sz="4" w:space="8"/>
          <w:bottom w:val="single" w:color="CFE6D5" w:sz="4" w:space="8"/>
          <w:left w:val="single" w:color="1E7A34" w:sz="18" w:space="8"/>
          <w:right w:val="single" w:color="CFE6D5" w:sz="4" w:space="8"/>
        </w:pBdr>
        <w:shd w:fill="EEF6F0" w:val="clear"/>
        <w:spacing w:after="200" w:before="140"/>
      </w:pPr>
      <w:r>
        <w:rPr>
          <w:color w:val="2B4A33"/>
          <w:sz w:val="20"/>
          <w:szCs w:val="20"/>
        </w:rPr>
        <w:t xml:space="preserve">Funding line: existing TAMS and energy-investment measures. Additional CAP allocation required: none from the coupled-support pot.</w:t>
      </w:r>
    </w:p>
    <w:p>
      <w:pPr>
        <w:pStyle w:val="Heading2"/>
        <w:keepNext/>
        <w:spacing w:after="120" w:before="320"/>
      </w:pPr>
      <w:r>
        <w:rPr>
          <w:rFonts w:ascii="Georgia" w:cs="Georgia" w:eastAsia="Georgia" w:hAnsi="Georgia"/>
          <w:b/>
          <w:bCs/>
          <w:color w:val="1E7A34"/>
          <w:sz w:val="28"/>
          <w:szCs w:val="28"/>
        </w:rPr>
        <w:t xml:space="preserve">The farm as power station — energy income on every holding</w:t>
      </w:r>
    </w:p>
    <w:p>
      <w:pPr>
        <w:spacing w:after="140"/>
        <w:jc w:val="left"/>
      </w:pPr>
      <w:r>
        <w:rPr>
          <w:sz w:val="21"/>
          <w:szCs w:val="21"/>
        </w:rPr>
        <w:t xml:space="preserve">Farm buildings and suitable agricultural land can generate income as well as consume energy. TAMS solar support operates through a separate investment ceiling from the general farm-investment ceiling, allowing eligible farmers to invest in farm-scale generation without using the full general ceiling on the same project.</w:t>
      </w:r>
    </w:p>
    <w:p>
      <w:pPr>
        <w:spacing w:after="140"/>
        <w:jc w:val="left"/>
      </w:pPr>
      <w:r>
        <w:rPr>
          <w:sz w:val="21"/>
          <w:szCs w:val="21"/>
        </w:rPr>
        <w:t xml:space="preserve">Agricultural payment eligibility on land containing solar infrastructure should depend on the actual eligible agricultural activity and the final scheme rules. Where grazing continues and the land remains genuinely agricultural, the payment system should recognise that use rather than automatically treating the parcel as lost.</w:t>
      </w:r>
    </w:p>
    <w:p>
      <w:pPr>
        <w:pStyle w:val="Heading3"/>
        <w:keepNext/>
        <w:spacing w:after="90" w:before="220"/>
      </w:pPr>
      <w:r>
        <w:rPr>
          <w:rFonts w:ascii="Georgia" w:cs="Georgia" w:eastAsia="Georgia" w:hAnsi="Georgia"/>
          <w:b/>
          <w:bCs/>
          <w:color w:val="15521F"/>
          <w:sz w:val="23"/>
          <w:szCs w:val="23"/>
        </w:rPr>
        <w:t xml:space="preserve">A roofs-first farm-energy policy</w:t>
      </w:r>
    </w:p>
    <w:p>
      <w:pPr>
        <w:spacing w:after="140"/>
        <w:jc w:val="left"/>
      </w:pPr>
      <w:r>
        <w:rPr>
          <w:sz w:val="21"/>
          <w:szCs w:val="21"/>
        </w:rPr>
        <w:t xml:space="preserve">Priority should go to farm sheds, yards, existing structures, brownfield locations and genuinely dual-use grazed systems before productive farmland is removed from food production.</w:t>
      </w:r>
    </w:p>
    <w:p>
      <w:pPr>
        <w:pStyle w:val="Heading3"/>
        <w:keepNext/>
        <w:spacing w:after="90" w:before="220"/>
      </w:pPr>
      <w:r>
        <w:rPr>
          <w:rFonts w:ascii="Georgia" w:cs="Georgia" w:eastAsia="Georgia" w:hAnsi="Georgia"/>
          <w:b/>
          <w:bCs/>
          <w:color w:val="15521F"/>
          <w:sz w:val="23"/>
          <w:szCs w:val="23"/>
        </w:rPr>
        <w:t xml:space="preserve">Faster grid access for farm-scale generation</w:t>
      </w:r>
    </w:p>
    <w:p>
      <w:pPr>
        <w:spacing w:after="140"/>
        <w:jc w:val="left"/>
      </w:pPr>
      <w:r>
        <w:rPr>
          <w:sz w:val="21"/>
          <w:szCs w:val="21"/>
        </w:rPr>
        <w:t xml:space="preserve">Small and medium farm projects should not be trapped behind long grid queues designed around utility-scale developments.</w:t>
      </w:r>
    </w:p>
    <w:p>
      <w:pPr>
        <w:pStyle w:val="Heading3"/>
        <w:keepNext/>
        <w:spacing w:after="90" w:before="220"/>
      </w:pPr>
      <w:r>
        <w:rPr>
          <w:rFonts w:ascii="Georgia" w:cs="Georgia" w:eastAsia="Georgia" w:hAnsi="Georgia"/>
          <w:b/>
          <w:bCs/>
          <w:color w:val="15521F"/>
          <w:sz w:val="23"/>
          <w:szCs w:val="23"/>
        </w:rPr>
        <w:t xml:space="preserve">A farmer ownership stake</w:t>
      </w:r>
    </w:p>
    <w:p>
      <w:pPr>
        <w:spacing w:after="140"/>
        <w:jc w:val="left"/>
      </w:pPr>
      <w:r>
        <w:rPr>
          <w:sz w:val="21"/>
          <w:szCs w:val="21"/>
        </w:rPr>
        <w:t xml:space="preserve">Where renewable projects are built on farmland, farmers should have the opportunity to hold an ownership or revenue stake rather than receiving only a fixed lease payment. For a retiring farmer under Part II, the shed roof could become a dependable pension supplement even after livestock numbers fall.</w:t>
      </w:r>
    </w:p>
    <w:p>
      <w:pPr>
        <w:pBdr>
          <w:top w:val="single" w:color="CFE6D5" w:sz="4" w:space="8"/>
          <w:bottom w:val="single" w:color="CFE6D5" w:sz="4" w:space="8"/>
          <w:left w:val="single" w:color="1E7A34" w:sz="18" w:space="8"/>
          <w:right w:val="single" w:color="CFE6D5" w:sz="4" w:space="8"/>
        </w:pBdr>
        <w:shd w:fill="EEF6F0" w:val="clear"/>
        <w:spacing w:after="200" w:before="140"/>
      </w:pPr>
      <w:r>
        <w:rPr>
          <w:color w:val="2B4A33"/>
          <w:sz w:val="20"/>
          <w:szCs w:val="20"/>
        </w:rPr>
        <w:t xml:space="preserve">Funding line: existing solar supports, microgeneration schemes and private capital. Additional CAP allocation required: none from the coupled-support pot.</w:t>
      </w:r>
    </w:p>
    <w:p>
      <w:pPr>
        <w:pStyle w:val="Heading2"/>
        <w:keepNext/>
        <w:spacing w:after="120" w:before="320"/>
      </w:pPr>
      <w:r>
        <w:rPr>
          <w:rFonts w:ascii="Georgia" w:cs="Georgia" w:eastAsia="Georgia" w:hAnsi="Georgia"/>
          <w:b/>
          <w:bCs/>
          <w:color w:val="1E7A34"/>
          <w:sz w:val="28"/>
          <w:szCs w:val="28"/>
        </w:rPr>
        <w:t xml:space="preserve">The dairy-beef bridge — quality from birth</w:t>
      </w:r>
    </w:p>
    <w:p>
      <w:pPr>
        <w:spacing w:after="140"/>
        <w:jc w:val="left"/>
      </w:pPr>
      <w:r>
        <w:rPr>
          <w:sz w:val="21"/>
          <w:szCs w:val="21"/>
        </w:rPr>
        <w:t xml:space="preserve">A growing share of Irish beef originates in the dairy herd. Whether those animals can finish efficiently and meet market specification is strongly influenced by breeding decisions made at the start.</w:t>
      </w:r>
    </w:p>
    <w:p>
      <w:pPr>
        <w:spacing w:after="140"/>
        <w:jc w:val="left"/>
      </w:pPr>
      <w:r>
        <w:rPr>
          <w:sz w:val="21"/>
          <w:szCs w:val="21"/>
        </w:rPr>
        <w:t xml:space="preserve">Dairy also demonstrates the value of price transparency. Milk prices are routinely published, compared and discussed across processors. That has not prevented competition. It has given farmers a clearer view of the market.</w:t>
      </w:r>
    </w:p>
    <w:p>
      <w:pPr>
        <w:pStyle w:val="Heading3"/>
        <w:keepNext/>
        <w:spacing w:after="90" w:before="220"/>
      </w:pPr>
      <w:r>
        <w:rPr>
          <w:rFonts w:ascii="Georgia" w:cs="Georgia" w:eastAsia="Georgia" w:hAnsi="Georgia"/>
          <w:b/>
          <w:bCs/>
          <w:color w:val="15521F"/>
          <w:sz w:val="23"/>
          <w:szCs w:val="23"/>
        </w:rPr>
        <w:t xml:space="preserve">A dairy-beef breeding measure</w:t>
      </w:r>
    </w:p>
    <w:p>
      <w:pPr>
        <w:spacing w:after="140"/>
        <w:jc w:val="left"/>
      </w:pPr>
      <w:r>
        <w:rPr>
          <w:sz w:val="21"/>
          <w:szCs w:val="21"/>
        </w:rPr>
        <w:t xml:space="preserve">Support should encourage high Commercial Beef Value beef AI, sexed dairy semen where appropriate, stronger beef merit in non-replacement matings, and verified breeding decisions through ICBF. The aim is to ensure that calves entering the beef system have a realistic route to efficient finishing and acceptable carcass performance. The measure should be paid at AI-subsidy scale and verified through existing breeding records.</w:t>
      </w:r>
    </w:p>
    <w:p>
      <w:pPr>
        <w:pBdr>
          <w:top w:val="single" w:color="CFE6D5" w:sz="4" w:space="8"/>
          <w:bottom w:val="single" w:color="CFE6D5" w:sz="4" w:space="8"/>
          <w:left w:val="single" w:color="1E7A34" w:sz="18" w:space="8"/>
          <w:right w:val="single" w:color="CFE6D5" w:sz="4" w:space="8"/>
        </w:pBdr>
        <w:shd w:fill="EEF6F0" w:val="clear"/>
        <w:spacing w:after="200" w:before="140"/>
      </w:pPr>
      <w:r>
        <w:rPr>
          <w:color w:val="2B4A33"/>
          <w:sz w:val="20"/>
          <w:szCs w:val="20"/>
        </w:rPr>
        <w:t xml:space="preserve">Funding line: existing breeding, welfare or environmental envelopes. Additional CAP allocation required: limited reallocation only.</w:t>
      </w:r>
    </w:p>
    <w:p>
      <w:pPr>
        <w:pStyle w:val="Heading2"/>
        <w:keepNext/>
        <w:spacing w:after="120" w:before="320"/>
      </w:pPr>
      <w:r>
        <w:rPr>
          <w:rFonts w:ascii="Georgia" w:cs="Georgia" w:eastAsia="Georgia" w:hAnsi="Georgia"/>
          <w:b/>
          <w:bCs/>
          <w:color w:val="1E7A34"/>
          <w:sz w:val="28"/>
          <w:szCs w:val="28"/>
        </w:rPr>
        <w:t xml:space="preserve">How the books balance</w:t>
      </w:r>
    </w:p>
    <w:p>
      <w:pPr>
        <w:spacing w:after="140"/>
        <w:jc w:val="left"/>
      </w:pPr>
      <w:r>
        <w:rPr>
          <w:sz w:val="21"/>
          <w:szCs w:val="21"/>
        </w:rPr>
        <w:t xml:space="preserve">Not one euro in Part III is drawn from the coupled-support allocation used in Part I. The books balance because most of the sectors discussed here do not primarily need another headage payment. They need better rules, visible prices, enforceable contracts, targeted redesign, and support drawn from the pots already intended for those purposes.</w:t>
      </w:r>
    </w:p>
    <w:p>
      <w:pPr>
        <w:spacing w:after="140"/>
        <w:jc w:val="left"/>
      </w:pPr>
      <w:r>
        <w:rPr>
          <w:sz w:val="21"/>
          <w:szCs w:val="21"/>
        </w:rPr>
        <w:t xml:space="preserve">The structure is:</w:t>
      </w:r>
    </w:p>
    <w:p>
      <w:pPr>
        <w:pStyle w:val="ListParagraph"/>
        <w:numPr>
          <w:ilvl w:val="0"/>
          <w:numId w:val="2"/>
        </w:numPr>
        <w:spacing w:after="70"/>
      </w:pPr>
      <w:r>
        <w:rPr>
          <w:sz w:val="21"/>
          <w:szCs w:val="21"/>
        </w:rPr>
        <w:t xml:space="preserve">Part I — beef coupled support. Sized to the coupled-support pot available under the final rules. Rates adjust to the pot. The first 25 cows remain the priority.</w:t>
      </w:r>
    </w:p>
    <w:p>
      <w:pPr>
        <w:pStyle w:val="ListParagraph"/>
        <w:numPr>
          <w:ilvl w:val="0"/>
          <w:numId w:val="2"/>
        </w:numPr>
        <w:spacing w:after="70"/>
      </w:pPr>
      <w:r>
        <w:rPr>
          <w:sz w:val="21"/>
          <w:szCs w:val="21"/>
        </w:rPr>
        <w:t xml:space="preserve">Part II — retirement and establishment. Funded through the final generational-renewal allocation, national co-funding and any establishment framework ultimately adopted. Any reference to packages of up to €300,000 should be treated as a proposed maximum framework, not a guaranteed payment to every entrant.</w:t>
      </w:r>
    </w:p>
    <w:p>
      <w:pPr>
        <w:pStyle w:val="ListParagraph"/>
        <w:numPr>
          <w:ilvl w:val="0"/>
          <w:numId w:val="2"/>
        </w:numPr>
        <w:spacing w:after="70"/>
      </w:pPr>
      <w:r>
        <w:rPr>
          <w:sz w:val="21"/>
          <w:szCs w:val="21"/>
        </w:rPr>
        <w:t xml:space="preserve">Forestry. Funded through the existing Forestry Programme outside the beef coupled-support allocation.</w:t>
      </w:r>
    </w:p>
    <w:p>
      <w:pPr>
        <w:pStyle w:val="ListParagraph"/>
        <w:numPr>
          <w:ilvl w:val="0"/>
          <w:numId w:val="2"/>
        </w:numPr>
        <w:spacing w:after="70"/>
      </w:pPr>
      <w:r>
        <w:rPr>
          <w:sz w:val="21"/>
          <w:szCs w:val="21"/>
        </w:rPr>
        <w:t xml:space="preserve">Sheep. Funded through rural-development and exchequer support. This is the submission's one declared trade-off.</w:t>
      </w:r>
    </w:p>
    <w:p>
      <w:pPr>
        <w:pStyle w:val="ListParagraph"/>
        <w:numPr>
          <w:ilvl w:val="0"/>
          <w:numId w:val="2"/>
        </w:numPr>
        <w:spacing w:after="70"/>
      </w:pPr>
      <w:r>
        <w:rPr>
          <w:sz w:val="21"/>
          <w:szCs w:val="21"/>
        </w:rPr>
        <w:t xml:space="preserve">Wool. Delivered through reporting rules, public procurement and processing support.</w:t>
      </w:r>
    </w:p>
    <w:p>
      <w:pPr>
        <w:pStyle w:val="ListParagraph"/>
        <w:numPr>
          <w:ilvl w:val="0"/>
          <w:numId w:val="2"/>
        </w:numPr>
        <w:spacing w:after="70"/>
      </w:pPr>
      <w:r>
        <w:rPr>
          <w:sz w:val="21"/>
          <w:szCs w:val="21"/>
        </w:rPr>
        <w:t xml:space="preserve">Hills and commonage. Funded through eco-scheme reallocation and Rural Affairs measures.</w:t>
      </w:r>
    </w:p>
    <w:p>
      <w:pPr>
        <w:pStyle w:val="ListParagraph"/>
        <w:numPr>
          <w:ilvl w:val="0"/>
          <w:numId w:val="2"/>
        </w:numPr>
        <w:spacing w:after="70"/>
      </w:pPr>
      <w:r>
        <w:rPr>
          <w:sz w:val="21"/>
          <w:szCs w:val="21"/>
        </w:rPr>
        <w:t xml:space="preserve">Horticulture. Funded through EU producer-organisation support and existing national schemes.</w:t>
      </w:r>
    </w:p>
    <w:p>
      <w:pPr>
        <w:pStyle w:val="ListParagraph"/>
        <w:numPr>
          <w:ilvl w:val="0"/>
          <w:numId w:val="2"/>
        </w:numPr>
        <w:spacing w:after="70"/>
      </w:pPr>
      <w:r>
        <w:rPr>
          <w:sz w:val="21"/>
          <w:szCs w:val="21"/>
        </w:rPr>
        <w:t xml:space="preserve">Pigs and poultry. Funded through existing capital and energy supports, with transparency delivered by regulation.</w:t>
      </w:r>
    </w:p>
    <w:p>
      <w:pPr>
        <w:pStyle w:val="ListParagraph"/>
        <w:numPr>
          <w:ilvl w:val="0"/>
          <w:numId w:val="2"/>
        </w:numPr>
        <w:spacing w:after="70"/>
      </w:pPr>
      <w:r>
        <w:rPr>
          <w:sz w:val="21"/>
          <w:szCs w:val="21"/>
        </w:rPr>
        <w:t xml:space="preserve">Farm energy. Funded through existing solar supports and private capital.</w:t>
      </w:r>
    </w:p>
    <w:p>
      <w:pPr>
        <w:pStyle w:val="ListParagraph"/>
        <w:numPr>
          <w:ilvl w:val="0"/>
          <w:numId w:val="2"/>
        </w:numPr>
        <w:spacing w:after="70"/>
      </w:pPr>
      <w:r>
        <w:rPr>
          <w:sz w:val="21"/>
          <w:szCs w:val="21"/>
        </w:rPr>
        <w:t xml:space="preserve">Dairy-beef breeding. Funded through small-scale reallocation within existing breeding, welfare or environmental measures.</w:t>
      </w:r>
    </w:p>
    <w:p>
      <w:pPr>
        <w:spacing w:after="140"/>
        <w:jc w:val="left"/>
      </w:pPr>
      <w:r>
        <w:rPr>
          <w:sz w:val="21"/>
          <w:szCs w:val="21"/>
        </w:rPr>
        <w:t xml:space="preserve">A smaller CAP budget would reduce the payment-based measures. It would not reduce the value of transparency, contract security or better design. Those become more important when money is tighter.</w:t>
      </w:r>
    </w:p>
    <w:p>
      <w:pPr>
        <w:pStyle w:val="Heading2"/>
        <w:keepNext/>
        <w:spacing w:after="120" w:before="320"/>
      </w:pPr>
      <w:r>
        <w:rPr>
          <w:rFonts w:ascii="Georgia" w:cs="Georgia" w:eastAsia="Georgia" w:hAnsi="Georgia"/>
          <w:b/>
          <w:bCs/>
          <w:color w:val="1E7A34"/>
          <w:sz w:val="28"/>
          <w:szCs w:val="28"/>
        </w:rPr>
        <w:t xml:space="preserve">The common thread — transparency</w:t>
      </w:r>
    </w:p>
    <w:p>
      <w:pPr>
        <w:spacing w:after="140"/>
        <w:jc w:val="left"/>
      </w:pPr>
      <w:r>
        <w:rPr>
          <w:sz w:val="21"/>
          <w:szCs w:val="21"/>
        </w:rPr>
        <w:t xml:space="preserve">A pig farmer taking a weekly quote he cannot verify, a poultry grower working under private contract terms, a sheep farmer handing over wool below the cost of shearing, or a grower selling into a market where the buyer's margin is unknown all face the same basic problem as the beef farmer at the factory gate. They are negotiating with less information than the buyer.</w:t>
      </w:r>
    </w:p>
    <w:p>
      <w:pPr>
        <w:spacing w:after="140"/>
        <w:jc w:val="left"/>
      </w:pPr>
      <w:r>
        <w:rPr>
          <w:sz w:val="21"/>
          <w:szCs w:val="21"/>
        </w:rPr>
        <w:t xml:space="preserve">Every measure in this Part does one of three things: publishes a price; enforces a contract term; or pays openly for a public good.</w:t>
      </w:r>
    </w:p>
    <w:p>
      <w:pPr>
        <w:pBdr>
          <w:left w:val="single" w:color="FFC400" w:sz="18" w:space="12"/>
        </w:pBdr>
        <w:spacing w:after="180" w:before="180"/>
        <w:ind w:left="403"/>
      </w:pPr>
      <w:r>
        <w:rPr>
          <w:rFonts w:ascii="Georgia" w:cs="Georgia" w:eastAsia="Georgia" w:hAnsi="Georgia"/>
          <w:b/>
          <w:bCs/>
          <w:i/>
          <w:iCs/>
          <w:color w:val="15521F"/>
          <w:sz w:val="24"/>
          <w:szCs w:val="24"/>
        </w:rPr>
        <w:t xml:space="preserve">That is not an extra theme added to the submission. It is the principle the submission was built on.</w:t>
      </w:r>
    </w:p>
    <w:p>
      <w:pPr>
        <w:pBdr>
          <w:bottom w:val="single" w:color="FFC400" w:sz="8" w:space="6"/>
        </w:pBdr>
        <w:spacing w:after="220" w:before="60"/>
      </w:pPr>
    </w:p>
    <w:p>
      <w:pPr>
        <w:spacing w:after="100" w:before="60"/>
      </w:pPr>
      <w:r>
        <w:rPr>
          <w:i/>
          <w:iCs/>
          <w:color w:val="5A544A"/>
          <w:sz w:val="17"/>
          <w:szCs w:val="17"/>
        </w:rPr>
        <w:t xml:space="preserve">A note on the figures. Scheme rates, ceilings and programme sizes referenced in this submission are drawn from Department of Agriculture, Food and the Marine publications, the Forestry Programme, TAMS and the eco-scheme framework. Wool and market figures are drawn from industry and trade reporting. References to the proposed 2028–2034 budget, generational-renewal funding and future national flexibility remain subject to negotiation and final adoption. Euro figures are round working numbers for policy discussion, not scheme guidance — talk to your own adviser.</w:t>
      </w:r>
    </w:p>
    <w:sectPr>
      <w:headerReference w:type="default" r:id="rId7"/>
      <w:footerReference w:type="default" r:id="rId8"/>
      <w:pgSz w:w="11906" w:h="16838" w:orient="portrait"/>
      <w:pgMar w:top="1300" w:right="1400" w:bottom="1300" w:left="14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A544A"/>
        <w:sz w:val="16"/>
        <w:szCs w:val="16"/>
      </w:rPr>
      <w:t xml:space="preserve">Part III — The forgotten sectors   ·   Page </w:t>
    </w:r>
    <w:r>
      <w:rPr>
        <w:color w:val="5A544A"/>
        <w:sz w:val="16"/>
        <w:szCs w:val="16"/>
      </w:rPr>
      <w:fldChar w:fldCharType="begin"/>
      <w:instrText xml:space="preserve">PAGE</w:instrText>
      <w:fldChar w:fldCharType="separate"/>
      <w:fldChar w:fldCharType="end"/>
    </w:r>
    <w:r>
      <w:rPr>
        <w:color w:val="5A544A"/>
        <w:sz w:val="16"/>
        <w:szCs w:val="16"/>
      </w:rPr>
      <w:t xml:space="preserve"> of </w:t>
    </w:r>
    <w:r>
      <w:rPr>
        <w:color w:val="5A544A"/>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CFBA" w:sz="4" w:space="6"/>
      </w:pBdr>
      <w:spacing w:after="120"/>
      <w:jc w:val="right"/>
    </w:pPr>
    <w:r>
      <w:rPr>
        <w:color w:val="5A544A"/>
        <w:sz w:val="16"/>
        <w:szCs w:val="16"/>
      </w:rPr>
      <w:t xml:space="preserve">IrelandCattlePrice.com  ·  CAP post-2027 submission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88"/>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III — The forgotten sectors</dc:title>
  <dc:creator>Brendan Kennedy — IrelandCattlePrice.com</dc:creator>
  <dc:description>Final IrelandCattlePrice.com CAP post-2027 submission</dc:description>
  <cp:lastModifiedBy>Un-named</cp:lastModifiedBy>
  <cp:revision>1</cp:revision>
  <dcterms:created xsi:type="dcterms:W3CDTF">2026-07-20T22:56:56.398Z</dcterms:created>
  <dcterms:modified xsi:type="dcterms:W3CDTF">2026-07-20T22:56:56.398Z</dcterms:modified>
</cp:coreProperties>
</file>

<file path=docProps/custom.xml><?xml version="1.0" encoding="utf-8"?>
<Properties xmlns="http://schemas.openxmlformats.org/officeDocument/2006/custom-properties" xmlns:vt="http://schemas.openxmlformats.org/officeDocument/2006/docPropsVTypes"/>
</file>